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E3" w:rsidRPr="00A62AC9" w:rsidRDefault="002857E3" w:rsidP="00A62AC9">
      <w:pPr>
        <w:widowControl w:val="0"/>
        <w:tabs>
          <w:tab w:val="left" w:pos="-720"/>
          <w:tab w:val="left" w:pos="-600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bg-BG"/>
        </w:rPr>
      </w:pPr>
      <w:r w:rsidRPr="00A62AC9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МЕТОДИКА ЗА ОПРЕДЕЛЯНЕ НА КОМПЛЕКСНАТА ОЦЕНКА НА ОФЕРТИТЕ</w:t>
      </w:r>
    </w:p>
    <w:p w:rsidR="002857E3" w:rsidRPr="00A62AC9" w:rsidRDefault="002857E3" w:rsidP="00A62AC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</w:pPr>
      <w:r w:rsidRPr="00A62AC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  <w:t xml:space="preserve">Преди да пристъпи към оценяване на показателите от техническите оферти на участниците, комисията проверява дали същите са подготвени и представени в съответствие с изискванията на документацията за участие в процедурата и техническите спецификации. 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>Комплексната оценка се извършва по посочените показатели и съответните им относителни тежести и съгласно комплексната оценка по следната формула: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КО = СИ х 20% + ТП х 50% + ФП х 30% 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 Показатели за оценяване са:</w:t>
      </w:r>
    </w:p>
    <w:p w:rsidR="002857E3" w:rsidRPr="00A62AC9" w:rsidRDefault="002857E3" w:rsidP="00A27A2A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а) ПОКАЗАТЕЛ СРОК ЗА ИЗПЪЛНЕНИЕ - 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предложен от участника срок за изпълнение на проектиране и строителство, </w:t>
      </w: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тегловен коефициент в КО – 20 %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Показател „Срок за изпълнение“ е показател, отразяващ тежестта на предложения от участника най – кратък срок за изпълнение на поръчката </w:t>
      </w: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(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>включващ срока за проектиране и срока за изпълнение на СМР</w:t>
      </w: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)</w:t>
      </w: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>в месеци при график напълно съобразен с предложената организация на изпълнението, показващ изпълнението на дейностите по обекта.</w:t>
      </w: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>В графика следва ясно да са посочени поотделно конкретните срокове за изпълнение на отделните дейности по обекта.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2857E3" w:rsidRPr="0041694A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41694A">
        <w:rPr>
          <w:rFonts w:ascii="Times New Roman" w:hAnsi="Times New Roman" w:cs="Times New Roman"/>
          <w:sz w:val="24"/>
          <w:szCs w:val="24"/>
          <w:lang w:eastAsia="bg-BG"/>
        </w:rPr>
        <w:t xml:space="preserve">Оценява се предложения от участника срок за изпълнение на поръчката в месеци.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Предложенията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по </w:t>
      </w:r>
      <w:r w:rsidRPr="0041694A">
        <w:rPr>
          <w:rFonts w:ascii="Times New Roman" w:hAnsi="Times New Roman" w:cs="Times New Roman"/>
          <w:sz w:val="24"/>
          <w:szCs w:val="24"/>
          <w:lang w:eastAsia="bg-BG"/>
        </w:rPr>
        <w:t xml:space="preserve">този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показател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следва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бъдат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представени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участниците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в 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календарни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дни. При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оценяване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съгласно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по-долу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посочената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формула,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каледарните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дни се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трансформират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месеци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като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за единица / </w:t>
      </w:r>
      <w:proofErr w:type="gram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един</w:t>
      </w:r>
      <w:proofErr w:type="gram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/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месец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вземат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30 дни. 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Предложените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дни за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се делят на 30 и по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начин се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определя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срока за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поръчката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в</w:t>
      </w:r>
      <w:proofErr w:type="gram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месеци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.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Числото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което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получава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, се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закръгля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до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втория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знак след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десетичната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запетая и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така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участва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във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формулата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за</w:t>
      </w:r>
      <w:proofErr w:type="gram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оценка на срока /</w:t>
      </w:r>
      <w:proofErr w:type="spellStart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ОцСп</w:t>
      </w:r>
      <w:proofErr w:type="spellEnd"/>
      <w:r w:rsidRPr="0041694A">
        <w:rPr>
          <w:rFonts w:ascii="Times New Roman" w:hAnsi="Times New Roman" w:cs="Times New Roman"/>
          <w:sz w:val="24"/>
          <w:szCs w:val="24"/>
          <w:lang w:val="ru-RU" w:eastAsia="bg-BG"/>
        </w:rPr>
        <w:t>/.</w:t>
      </w:r>
    </w:p>
    <w:p w:rsidR="002857E3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4"/>
          <w:szCs w:val="24"/>
          <w:lang w:val="ru-RU"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Не се допуска </w:t>
      </w:r>
      <w:proofErr w:type="spellStart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разминаване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между предложения срок за </w:t>
      </w:r>
      <w:proofErr w:type="spellStart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линейния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календарен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план и </w:t>
      </w:r>
      <w:proofErr w:type="spellStart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посочения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Техническото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предложение 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срок за изпълнение на поръчката, както и предложение за срок на изпълнение, който надвишава максималния допустим срок за изпълнението </w:t>
      </w:r>
      <w:proofErr w:type="gramStart"/>
      <w:r w:rsidRPr="00A62AC9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gramEnd"/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 поръчката, посочен в документацията за участие</w:t>
      </w: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>Максималната оценка по този показател получава тази оферта, в която е предложен най – кратък срок за изпълнение /в месеци/ при график напълно съобразен с предложената организация на изпълнението.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Оценката по Показател „Срок за изпълнение“ представлява сбор от оценките на предложения от участника срок за проектиране с тежест 30 и предложения от участника срок за изпълнение на СМР с тежест 70. 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A62AC9">
        <w:rPr>
          <w:rFonts w:ascii="Times New Roman" w:hAnsi="Times New Roman" w:cs="Times New Roman"/>
          <w:sz w:val="24"/>
          <w:szCs w:val="24"/>
          <w:lang w:eastAsia="bg-BG"/>
        </w:rPr>
        <w:t>ОцСп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 е оценката на срока за проектиране, предложен от участника за изпълнението на дейностите от предмета на тази обществената поръчка. Тя се извършва по следната формула: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position w:val="-28"/>
          <w:sz w:val="24"/>
          <w:szCs w:val="24"/>
          <w:lang w:eastAsia="bg-BG"/>
        </w:rPr>
        <w:object w:dxaOrig="856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32.8pt" o:ole="">
            <v:imagedata r:id="rId5" o:title=""/>
          </v:shape>
          <o:OLEObject Type="Embed" ProgID="Equation.3" ShapeID="_x0000_i1025" DrawAspect="Content" ObjectID="_1516005515" r:id="rId6"/>
        </w:objec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A62AC9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ОцСсмр</w:t>
      </w:r>
      <w:proofErr w:type="spellEnd"/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 е оценката на срока за изпълнение на СМР, предложен от участника за изпълнението на дейностите от предмета на тази обществената поръчка. Тя се извършва по следната формула:</w:t>
      </w: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857E3" w:rsidRPr="00A62AC9" w:rsidRDefault="002857E3" w:rsidP="00A27A2A">
      <w:pPr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b/>
          <w:bCs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position w:val="-28"/>
          <w:sz w:val="24"/>
          <w:szCs w:val="24"/>
          <w:lang w:eastAsia="bg-BG"/>
        </w:rPr>
        <w:object w:dxaOrig="9615" w:dyaOrig="660">
          <v:shape id="_x0000_i1026" type="#_x0000_t75" style="width:480.9pt;height:32.8pt" o:ole="">
            <v:imagedata r:id="rId7" o:title=""/>
          </v:shape>
          <o:OLEObject Type="Embed" ProgID="Equation.3" ShapeID="_x0000_i1026" DrawAspect="Content" ObjectID="_1516005516" r:id="rId8"/>
        </w:object>
      </w:r>
    </w:p>
    <w:p w:rsidR="002857E3" w:rsidRPr="00A62AC9" w:rsidRDefault="002857E3" w:rsidP="00A27A2A">
      <w:pPr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>Общата максимална оценка при изчисляването на Показател „Срок за изпълнение“ е 100.</w:t>
      </w:r>
    </w:p>
    <w:p w:rsidR="002857E3" w:rsidRPr="00A62AC9" w:rsidRDefault="002857E3" w:rsidP="00A27A2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б) ПОКАЗАТЕЛ ТЕХНИЧЕСКО ПРЕДЛОЖЕНИЕ (ТП)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 представлява сбор от присъдените точки по всеки показател с </w:t>
      </w: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тегловен коефициент – 50 % 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>и се прави по следната методика: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5"/>
        <w:gridCol w:w="5725"/>
        <w:gridCol w:w="874"/>
      </w:tblGrid>
      <w:tr w:rsidR="002857E3" w:rsidRPr="00AC1540">
        <w:tc>
          <w:tcPr>
            <w:tcW w:w="2802" w:type="dxa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Фактори, влияещи на оценката:</w:t>
            </w:r>
          </w:p>
        </w:tc>
        <w:tc>
          <w:tcPr>
            <w:tcW w:w="6520" w:type="dxa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Показатели за определяне на оценката</w:t>
            </w:r>
          </w:p>
        </w:tc>
        <w:tc>
          <w:tcPr>
            <w:tcW w:w="876" w:type="dxa"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Брой точки</w:t>
            </w:r>
          </w:p>
        </w:tc>
      </w:tr>
      <w:tr w:rsidR="002857E3" w:rsidRPr="00AC1540">
        <w:tc>
          <w:tcPr>
            <w:tcW w:w="2802" w:type="dxa"/>
            <w:vMerge w:val="restart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Фактори, влияещи на оценката: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Описание на отделните етапи на изпълнение на поръчката;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Описание на видовете СМР и тяхната последователност на изпълнение;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Организация и подход на изпълнение;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Съответствие на Линейния график с предложените организация и подход на изпълнение на поръчката и приложените диаграми на ресурсите.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За целите на настоящата методика, използваните в този раздел определения следва да се тълкуват, както следва: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lastRenderedPageBreak/>
              <w:t>„Ясно“- посочване на отделните етапи и видове СМР. Следва да се разбира изброяване, което недвусмислено посочва конкретния етап, конкретния вид СМР и по начин, по който същият да бъде индивидуализиран с предвидените в количествената сметка конкретни видове СМР;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„Подробно“- описанието, което освен, че съдържа отделни етапи, видове СМР и дейности не се ограничава единствено до тяхното просто изброяване, а са добавени</w:t>
            </w: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допълнителни поясняващи текстове, свързани с обясняване на последователността, технологията или други факти, имащи отношение към повишаване качеството на изпълнение на поръчката и надграждане над предвидените технически спецификации и изисквания; „Детайлно“</w:t>
            </w: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bg-BG"/>
              </w:rPr>
              <w:t xml:space="preserve"> </w:t>
            </w: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да се счита за синоним на „подробно“.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„Несъществени пропуски и/или частично съответствие” – налице е, когато е </w:t>
            </w: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lastRenderedPageBreak/>
              <w:t>констатиран пропуск и/или частично съответствие, но липсващата информация може да бъде установена от други факти и информация, посочени в офертата на участника и констатираните пропуски и/или частично несъответствие, които не могат да повлияят на изпълнението на поръчката, с оглед спазване на правилната технологична последователност.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Ако липсващата информация не може да бъде установена от други части в офертата, се приема наличието на „неудовлетворително предложение”, съдържащо се в офертата. „Неудовлетворително” е предложение, съдържащо непълноти/пропуски в техническото предложение, а именно такива, които го правят неотговарящо на изискванията на Възложителя, посочени в документацията за участие и техническата спецификация или на действащото законодателство, на съществуващите </w:t>
            </w:r>
            <w:r w:rsidRPr="00A62A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lastRenderedPageBreak/>
              <w:t>стандарти и технически изисквания, като например несъответствие между изискуеми параметри и предлагани такива и други подобни. При установени такива непълноти в техническото предложение на участник, офертата му следва да бъде предложена за отстраняване.</w:t>
            </w:r>
          </w:p>
        </w:tc>
        <w:tc>
          <w:tcPr>
            <w:tcW w:w="7396" w:type="dxa"/>
            <w:gridSpan w:val="2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ТЕХНОЛОГИЧНА ПОСЛЕДОВАТЕЛНОСТ НА  ПРОЕКТИРАНЕТО И НА СТРОИТЕЛНИТЕ ПРОЦЕСИ</w:t>
            </w:r>
          </w:p>
        </w:tc>
      </w:tr>
      <w:tr w:rsidR="002857E3" w:rsidRPr="00AC1540">
        <w:tc>
          <w:tcPr>
            <w:tcW w:w="2802" w:type="dxa"/>
            <w:vMerge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520" w:type="dxa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техническото предложение е обърнато внимание на всеки един от факторите, и е в сила всяко едно от следните обстоятелства: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Описани са дейностите на всеки един етап от изпълнението на проектантската задача, като е обоснована тяхната последователност и взаимовръзка, и са предложени и обосновавани методи за изпълнение, организация и управление, с които участникът доказва възможността си за бързо, качествено и ефективно изпълнение на проектантската задача.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Разгледани са и са анализирани етапите на съгласуване на проектите по отделните части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Детайлно (за всеки етап са посочени и развити всички дейности, включени в него) са описани етапите на изпълнение на задачата;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В обяснителната записка от техническото предложение към офертата се съдържат  ясно и подробно посочени предложения за реализирането на всички дейности и етапи в техническото задание. Изложена е подробно последователността на тяхното изпълнение. От описанието е видно, че ще бъдат използвани подходящи методи и техники на работа, чиято употреба при реализацията на конкретния обект е аргументирана и обоснована; 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Всички дейности, предмет на поръчката, са обезпечени с хора и машини, като разпределението им е съобразено със срока за изпълнение на </w:t>
            </w: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>съответната дейност;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Предлаганите методи за организация, контрол и използвани технологии за изпълнение съответстват на спецификата на конкретния проект;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В обяснителната записка от техническото предложение към офертата ясно и подробно са посочени видовете материали, които участникът ще използва за изпълнението на поръчката, като е приложил към техническата оферта съответните сертификати/декларации за съответствие за всеки един от материалите;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Налице е пълно съответствие между предложените организация и подход на изпълнение на поръчката, представения линеен график и диаграми на работната ръка и диаграми на механизацията.</w:t>
            </w:r>
          </w:p>
        </w:tc>
        <w:tc>
          <w:tcPr>
            <w:tcW w:w="876" w:type="dxa"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100 т.</w:t>
            </w:r>
          </w:p>
        </w:tc>
      </w:tr>
      <w:tr w:rsidR="002857E3" w:rsidRPr="00AC1540">
        <w:tc>
          <w:tcPr>
            <w:tcW w:w="2802" w:type="dxa"/>
            <w:vMerge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520" w:type="dxa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техническото предложение е обърнато внимание на всеки един от факторите, но е в сила поне едно от следните обстоятелства: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Всеобхватно (от нормативна и практическа гледна точка и в съответствие с техническите спецификации на Възложителя)  са описани спецификите и целите на конкретната задача, като са анализирани възможните проблеми и ограничения, които биха могли да възникнат при проектирането и начина, по който те биха били решени;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Конкретизирани са спецификите на съдържанието на конкретния проект. 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Детайлно (за всеки етап са посочени и развити всички дейности, включени в него) са описани етапите на изпълнение на задачата;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Описани са дейностите на всеки един етап от изпълнението на проектантската задача, като е обоснована тяхната последователност и взаимовръзка.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Участникът е описал дейностите и  етапите на изпълнение на поръчката, но не е изложена достатъчно ясно и подробно последователността на тяхното изпълнение, а същата е само маркирана и рамкирана общо и </w:t>
            </w:r>
            <w:proofErr w:type="spellStart"/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окрупнено</w:t>
            </w:r>
            <w:proofErr w:type="spellEnd"/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Участникът е посочил в обяснителната записка от техническото си предложение видовете СМР, но технологията  на изпълнението им не е достатъчно ясна и разбираема и/или не е подробно описана и/или не се отнася за всички СМР, а само е маркирана; 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>- Налице са несъществени пропуски и/или частично съответствие между посочената технологична последователност на строителния процес с предвидените за използване технически и човешки ресурси;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Предлаганите методи за организация, контрол, и/или използвани технологии съответстват на конкретния проект, но  предложената от участника методика за изпълнението на обекта, съдържа несъществени пропуски. 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Участникът недостатъчно ясно и подробно е посочил в обяснителната записка от техническото си предложение видовете материали, които ще използва за изпълнението на поръчката и/или не е приложил към техническата оферта някои сертификати/декларации за съответствие за предложените за изпълнението на поръчката материали.</w:t>
            </w:r>
          </w:p>
        </w:tc>
        <w:tc>
          <w:tcPr>
            <w:tcW w:w="876" w:type="dxa"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50 т.</w:t>
            </w:r>
          </w:p>
        </w:tc>
      </w:tr>
      <w:tr w:rsidR="002857E3" w:rsidRPr="00AC1540">
        <w:tc>
          <w:tcPr>
            <w:tcW w:w="2802" w:type="dxa"/>
            <w:vMerge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520" w:type="dxa"/>
          </w:tcPr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техническото предложение е в сила поне едно от следните обстоятелства: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Всеобхватно (от нормативна и практическа гледна точка и в съответствие с техническите спецификации на Възложителя)  са описани спецификите и целите на конкретната задача, като са анализирани възможните проблеми и ограничения, които биха могли да възникнат при проектирането и начина, по който те биха били решени. 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Детайлно (за всеки етап са посочени и развити всички дейности, включени в него) са описани етапите на изпълнение на проектантската задача.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Участникът е описал дейностите и  етапите на изпълнение на поръчката, но не е изложена последователност на тяхното изпълнение и/или е налице предложена технологично неправилна последователност при изпълнение на някои от дейностите;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Участникът е посочил в обяснителната записка от техническото си предложение видовете СМР без видно съответствие между посочената технологична последователност на строителния процес с предвидените за използване технически и човешки ресурси;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Предлаганите методи за организация, контрол и/или използвани технологии съответстват на конкретния проект, но  предложената от участника методика за изпълнението на обекта не съдържа </w:t>
            </w: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всички дейности, предмет на поръчката. 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Участникът не е посочил в обяснителната записка от техническото си предложение видовете материали, които ще използва за изпълнението на поръчката и не е приложил към техническата оферта сертификати/декларации за съответствие за строителни материали.</w:t>
            </w:r>
          </w:p>
          <w:p w:rsidR="002857E3" w:rsidRPr="00A62AC9" w:rsidRDefault="002857E3" w:rsidP="00A27A2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- Налице е констатирано несъответствие между предложените организация и подход на изпълнение на поръчката и/или представения линеен график и/или диаграмата на работната ръка и/или диаграми на механизацията</w:t>
            </w:r>
          </w:p>
        </w:tc>
        <w:tc>
          <w:tcPr>
            <w:tcW w:w="876" w:type="dxa"/>
          </w:tcPr>
          <w:p w:rsidR="002857E3" w:rsidRPr="00A62AC9" w:rsidRDefault="002857E3" w:rsidP="00A27A2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2A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10 т.</w:t>
            </w:r>
          </w:p>
        </w:tc>
      </w:tr>
    </w:tbl>
    <w:p w:rsidR="002857E3" w:rsidRPr="00A62AC9" w:rsidRDefault="002857E3" w:rsidP="00A27A2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2857E3" w:rsidRPr="00A62AC9" w:rsidRDefault="002857E3" w:rsidP="00A27A2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в) </w:t>
      </w: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ФИНАНСОВ ПОКАЗАТЕЛ (ФП) предложена от участника крайна цена за проектиране и строителство, </w:t>
      </w: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тегловен коефициент </w:t>
      </w:r>
      <w:proofErr w:type="gramStart"/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</w:t>
      </w:r>
      <w:proofErr w:type="gramEnd"/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КО – 30%</w:t>
      </w:r>
    </w:p>
    <w:p w:rsidR="002857E3" w:rsidRPr="00A62AC9" w:rsidRDefault="002857E3" w:rsidP="00A27A2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>Максимално възможна оценка 100 точки.</w:t>
      </w:r>
    </w:p>
    <w:p w:rsidR="002857E3" w:rsidRPr="00A62AC9" w:rsidRDefault="002857E3" w:rsidP="00A27A2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sz w:val="24"/>
          <w:szCs w:val="24"/>
          <w:lang w:eastAsia="bg-BG"/>
        </w:rPr>
        <w:t xml:space="preserve">Изчислява се по формулата: </w:t>
      </w:r>
    </w:p>
    <w:p w:rsidR="002857E3" w:rsidRPr="00A62AC9" w:rsidRDefault="002857E3" w:rsidP="00A27A2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ФП = (</w:t>
      </w:r>
      <w:proofErr w:type="spellStart"/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Цmin</w:t>
      </w:r>
      <w:proofErr w:type="spellEnd"/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/ </w:t>
      </w:r>
      <w:proofErr w:type="spellStart"/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Цi</w:t>
      </w:r>
      <w:proofErr w:type="spellEnd"/>
      <w:r w:rsidRPr="00A62A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 х 100...... = ( брой точки )</w:t>
      </w:r>
    </w:p>
    <w:p w:rsidR="002857E3" w:rsidRPr="00A62AC9" w:rsidRDefault="002857E3" w:rsidP="00A27A2A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Където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r w:rsidRPr="00A62AC9">
        <w:rPr>
          <w:rFonts w:ascii="Times New Roman" w:eastAsia="Batang" w:hAnsi="Times New Roman" w:cs="Times New Roman"/>
          <w:b/>
          <w:bCs/>
          <w:sz w:val="24"/>
          <w:szCs w:val="24"/>
          <w:lang w:val="ru-RU" w:eastAsia="ko-KR"/>
        </w:rPr>
        <w:t>Ц</w:t>
      </w:r>
      <w:r w:rsidRPr="00A62AC9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i</w:t>
      </w:r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е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предложената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обща цена, без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включени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непредвидени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разходи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за СМР, </w:t>
      </w:r>
      <w:proofErr w:type="gram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</w:t>
      </w:r>
      <w:proofErr w:type="gram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gram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лева</w:t>
      </w:r>
      <w:proofErr w:type="gram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без ДДС,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съгласно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Ценовото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предложение на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съответния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участник.</w:t>
      </w:r>
    </w:p>
    <w:p w:rsidR="002857E3" w:rsidRPr="00A62AC9" w:rsidRDefault="002857E3" w:rsidP="00A27A2A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Където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r w:rsidRPr="00A62AC9">
        <w:rPr>
          <w:rFonts w:ascii="Times New Roman" w:eastAsia="Batang" w:hAnsi="Times New Roman" w:cs="Times New Roman"/>
          <w:b/>
          <w:bCs/>
          <w:sz w:val="24"/>
          <w:szCs w:val="24"/>
          <w:lang w:val="ru-RU" w:eastAsia="ko-KR"/>
        </w:rPr>
        <w:t>Ц</w:t>
      </w:r>
      <w:proofErr w:type="spellStart"/>
      <w:r w:rsidRPr="00A62AC9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min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е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минималната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gram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предложена</w:t>
      </w:r>
      <w:proofErr w:type="gram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обща цена, без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включени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непредвидени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разходи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за СМР, в лева без ДДС,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съгласно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Ценовите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предложения на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всички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участници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.</w:t>
      </w:r>
    </w:p>
    <w:p w:rsidR="002857E3" w:rsidRPr="00A62AC9" w:rsidRDefault="002857E3" w:rsidP="00A27A2A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</w:p>
    <w:p w:rsidR="002857E3" w:rsidRPr="00A62AC9" w:rsidRDefault="002857E3" w:rsidP="00A27A2A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val="ru-RU" w:eastAsia="ko-KR"/>
        </w:rPr>
      </w:pPr>
      <w:r w:rsidRPr="00A62AC9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val="ru-RU" w:eastAsia="ko-KR"/>
        </w:rPr>
        <w:t>МЕТОДИКАТА СЕ ПРИЛАГА ПООТДЕЛНО ЗА ВСЯКА ОБОСОБЕНА ПОЗИЦИЯ</w:t>
      </w:r>
    </w:p>
    <w:p w:rsidR="002857E3" w:rsidRPr="00A62AC9" w:rsidRDefault="002857E3" w:rsidP="00A27A2A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/>
          <w:b/>
          <w:bCs/>
          <w:caps/>
          <w:sz w:val="24"/>
          <w:szCs w:val="24"/>
          <w:u w:val="single"/>
          <w:lang w:eastAsia="ko-KR"/>
        </w:rPr>
      </w:pPr>
    </w:p>
    <w:p w:rsidR="002857E3" w:rsidRPr="00A62AC9" w:rsidRDefault="002857E3" w:rsidP="00A27A2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857E3" w:rsidRPr="00A62AC9" w:rsidRDefault="002857E3" w:rsidP="00A27A2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Финансовите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предложения се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проверяват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, за да се установи, </w:t>
      </w:r>
      <w:proofErr w:type="gram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че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са</w:t>
      </w:r>
      <w:proofErr w:type="spellEnd"/>
      <w:proofErr w:type="gram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подготвени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и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представени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съответствие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с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изискванията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на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документацията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 за участие в </w:t>
      </w:r>
      <w:proofErr w:type="spellStart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процедурата</w:t>
      </w:r>
      <w:proofErr w:type="spellEnd"/>
      <w:r w:rsidRPr="00A62AC9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 xml:space="preserve">. </w:t>
      </w:r>
      <w:r w:rsidRPr="00A62AC9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При разлика между сумите изразени с цифри и думи, за вярно се приема словесното изражение на сумата.</w:t>
      </w:r>
    </w:p>
    <w:p w:rsidR="002857E3" w:rsidRDefault="002857E3" w:rsidP="00A27A2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2857E3" w:rsidRDefault="002857E3" w:rsidP="00A27A2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2857E3" w:rsidRDefault="002857E3" w:rsidP="00A27A2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bookmarkStart w:id="0" w:name="_GoBack"/>
      <w:bookmarkEnd w:id="0"/>
    </w:p>
    <w:p w:rsidR="002857E3" w:rsidRDefault="002857E3" w:rsidP="00A27A2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2857E3" w:rsidRPr="005243D9" w:rsidRDefault="002857E3" w:rsidP="00A27A2A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4"/>
          <w:szCs w:val="24"/>
          <w:lang w:eastAsia="bg-BG"/>
        </w:rPr>
      </w:pPr>
      <w:r w:rsidRPr="005243D9">
        <w:rPr>
          <w:rFonts w:ascii="TimesNewRoman" w:hAnsi="TimesNewRoman" w:cs="TimesNewRoman"/>
          <w:sz w:val="24"/>
          <w:szCs w:val="24"/>
          <w:lang w:eastAsia="bg-BG"/>
        </w:rPr>
        <w:t>Изготвил:</w:t>
      </w:r>
    </w:p>
    <w:p w:rsidR="002857E3" w:rsidRPr="005243D9" w:rsidRDefault="002857E3" w:rsidP="00A27A2A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4"/>
          <w:szCs w:val="24"/>
          <w:lang w:eastAsia="bg-BG"/>
        </w:rPr>
      </w:pPr>
      <w:r w:rsidRPr="005243D9">
        <w:rPr>
          <w:rFonts w:ascii="TimesNewRoman" w:hAnsi="TimesNewRoman" w:cs="TimesNewRoman"/>
          <w:sz w:val="24"/>
          <w:szCs w:val="24"/>
          <w:lang w:eastAsia="bg-BG"/>
        </w:rPr>
        <w:t xml:space="preserve">Инж. </w:t>
      </w:r>
      <w:r>
        <w:rPr>
          <w:rFonts w:ascii="TimesNewRoman" w:hAnsi="TimesNewRoman" w:cs="TimesNewRoman"/>
          <w:sz w:val="24"/>
          <w:szCs w:val="24"/>
          <w:lang w:eastAsia="bg-BG"/>
        </w:rPr>
        <w:t>Мирослав Митев</w:t>
      </w:r>
    </w:p>
    <w:p w:rsidR="002857E3" w:rsidRDefault="002857E3" w:rsidP="00A27A2A">
      <w:pPr>
        <w:spacing w:after="0"/>
      </w:pP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 </w:t>
      </w:r>
      <w:r w:rsidR="00A27A2A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Директор </w:t>
      </w:r>
      <w:r w:rsidR="00A27A2A">
        <w:rPr>
          <w:rFonts w:ascii="Times New Roman" w:hAnsi="Times New Roman" w:cs="Times New Roman"/>
          <w:sz w:val="24"/>
          <w:szCs w:val="24"/>
          <w:lang w:val="ru-RU" w:eastAsia="bg-BG"/>
        </w:rPr>
        <w:t>Д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ирекция </w:t>
      </w:r>
      <w:r>
        <w:rPr>
          <w:rFonts w:ascii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>ТСУ</w:t>
      </w:r>
      <w:r w:rsidR="00A27A2A">
        <w:rPr>
          <w:rFonts w:ascii="Times New Roman" w:hAnsi="Times New Roman" w:cs="Times New Roman"/>
          <w:sz w:val="24"/>
          <w:szCs w:val="24"/>
          <w:lang w:eastAsia="bg-BG"/>
        </w:rPr>
        <w:t>“</w:t>
      </w:r>
      <w:r w:rsidRPr="005243D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       </w:t>
      </w:r>
      <w:r w:rsidRPr="00A62AC9">
        <w:rPr>
          <w:rFonts w:ascii="Times New Roman" w:hAnsi="Times New Roman" w:cs="Times New Roman"/>
          <w:sz w:val="24"/>
          <w:szCs w:val="24"/>
          <w:lang w:val="ru-RU" w:eastAsia="bg-BG"/>
        </w:rPr>
        <w:br w:type="page"/>
      </w:r>
    </w:p>
    <w:sectPr w:rsidR="002857E3" w:rsidSect="00076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13BE"/>
    <w:rsid w:val="0007680C"/>
    <w:rsid w:val="002857E3"/>
    <w:rsid w:val="00307709"/>
    <w:rsid w:val="0041694A"/>
    <w:rsid w:val="004813BE"/>
    <w:rsid w:val="005243D9"/>
    <w:rsid w:val="005915F5"/>
    <w:rsid w:val="00A077D9"/>
    <w:rsid w:val="00A27A2A"/>
    <w:rsid w:val="00A62AC9"/>
    <w:rsid w:val="00AC1540"/>
    <w:rsid w:val="00AF052B"/>
    <w:rsid w:val="00B46FF1"/>
    <w:rsid w:val="00D6750D"/>
    <w:rsid w:val="00DF2EF3"/>
    <w:rsid w:val="00E3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 Знак Знак Знак Знак"/>
    <w:basedOn w:val="a"/>
    <w:uiPriority w:val="99"/>
    <w:rsid w:val="00A62AC9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1781</Words>
  <Characters>10155</Characters>
  <Application>Microsoft Office Word</Application>
  <DocSecurity>0</DocSecurity>
  <Lines>84</Lines>
  <Paragraphs>23</Paragraphs>
  <ScaleCrop>false</ScaleCrop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ЗА ОПРЕДЕЛЯНЕ НА КОМПЛЕКСНАТА ОЦЕНКА НА ОФЕРТИТЕ</dc:title>
  <dc:subject/>
  <dc:creator>Madlen</dc:creator>
  <cp:keywords/>
  <dc:description/>
  <cp:lastModifiedBy>Teodora Kostadinova</cp:lastModifiedBy>
  <cp:revision>5</cp:revision>
  <dcterms:created xsi:type="dcterms:W3CDTF">2016-02-02T14:27:00Z</dcterms:created>
  <dcterms:modified xsi:type="dcterms:W3CDTF">2016-02-03T09:52:00Z</dcterms:modified>
</cp:coreProperties>
</file>